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C4C8" w14:textId="34D5DBF0" w:rsidR="002B7F34" w:rsidRPr="00A62766" w:rsidRDefault="002B7F34" w:rsidP="00A62766">
      <w:pPr>
        <w:pStyle w:val="stBilgi"/>
        <w:tabs>
          <w:tab w:val="left" w:pos="1605"/>
        </w:tabs>
        <w:jc w:val="center"/>
        <w:rPr>
          <w:rFonts w:ascii="Times New Roman" w:eastAsia="MS PGothic" w:hAnsi="Times New Roman" w:cs="Times New Roman"/>
          <w:b/>
          <w:kern w:val="24"/>
          <w:sz w:val="24"/>
          <w:szCs w:val="24"/>
        </w:rPr>
      </w:pPr>
      <w:r w:rsidRPr="00A62766">
        <w:rPr>
          <w:rFonts w:ascii="Times New Roman" w:eastAsia="MS PGothic" w:hAnsi="Times New Roman" w:cs="Times New Roman"/>
          <w:b/>
          <w:kern w:val="24"/>
          <w:sz w:val="24"/>
          <w:szCs w:val="24"/>
        </w:rPr>
        <w:t>OSTİM TEKNİK ÜNİVERSİTESİ</w:t>
      </w:r>
    </w:p>
    <w:p w14:paraId="40F72EA7" w14:textId="3F8E0CE3" w:rsidR="00114A22" w:rsidRPr="00A62766" w:rsidRDefault="00037445" w:rsidP="00A62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3961524"/>
      <w:r w:rsidRPr="00A62766">
        <w:rPr>
          <w:rFonts w:ascii="Times New Roman" w:hAnsi="Times New Roman" w:cs="Times New Roman"/>
          <w:b/>
          <w:sz w:val="24"/>
          <w:szCs w:val="24"/>
        </w:rPr>
        <w:t>ÖĞRENİM ÜCRETLERİ</w:t>
      </w:r>
      <w:r w:rsidR="0004147F" w:rsidRPr="00A62766">
        <w:rPr>
          <w:rFonts w:ascii="Times New Roman" w:hAnsi="Times New Roman" w:cs="Times New Roman"/>
          <w:b/>
          <w:sz w:val="24"/>
          <w:szCs w:val="24"/>
        </w:rPr>
        <w:t xml:space="preserve"> İADE KOMİSYONU ÇALIŞMA USUL VE ESASLARI</w:t>
      </w:r>
    </w:p>
    <w:bookmarkEnd w:id="0"/>
    <w:p w14:paraId="65C58AE4" w14:textId="77777777" w:rsidR="007402A5" w:rsidRPr="00A62766" w:rsidRDefault="007402A5" w:rsidP="00A6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E3EF1" w14:textId="77777777" w:rsidR="00037445" w:rsidRPr="00A62766" w:rsidRDefault="00037445" w:rsidP="00A6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766">
        <w:rPr>
          <w:rFonts w:ascii="Times New Roman" w:hAnsi="Times New Roman" w:cs="Times New Roman"/>
          <w:sz w:val="24"/>
          <w:szCs w:val="24"/>
        </w:rPr>
        <w:t>Öğrenim Ücretleri iade taleplerinin değerlendirilmesi aşağıdaki prosedürlere uy</w:t>
      </w:r>
      <w:r w:rsidR="007402A5" w:rsidRPr="00A62766">
        <w:rPr>
          <w:rFonts w:ascii="Times New Roman" w:hAnsi="Times New Roman" w:cs="Times New Roman"/>
          <w:sz w:val="24"/>
          <w:szCs w:val="24"/>
        </w:rPr>
        <w:t>gun olarak gerçekleştirilir</w:t>
      </w:r>
      <w:r w:rsidRPr="00A62766">
        <w:rPr>
          <w:rFonts w:ascii="Times New Roman" w:hAnsi="Times New Roman" w:cs="Times New Roman"/>
          <w:sz w:val="24"/>
          <w:szCs w:val="24"/>
        </w:rPr>
        <w:t>.</w:t>
      </w:r>
    </w:p>
    <w:p w14:paraId="2E7195E5" w14:textId="7064B689" w:rsidR="0004147F" w:rsidRPr="00A62766" w:rsidRDefault="0004147F" w:rsidP="00A62766">
      <w:pPr>
        <w:pStyle w:val="ListeParagraf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766">
        <w:rPr>
          <w:rFonts w:ascii="Times New Roman" w:hAnsi="Times New Roman" w:cs="Times New Roman"/>
          <w:sz w:val="24"/>
          <w:szCs w:val="24"/>
        </w:rPr>
        <w:t>Öğrenci, OSTİM Teknik Üniversitesi Ön</w:t>
      </w:r>
      <w:r w:rsidR="007402A5" w:rsidRPr="00A62766">
        <w:rPr>
          <w:rFonts w:ascii="Times New Roman" w:hAnsi="Times New Roman" w:cs="Times New Roman"/>
          <w:sz w:val="24"/>
          <w:szCs w:val="24"/>
        </w:rPr>
        <w:t xml:space="preserve"> </w:t>
      </w:r>
      <w:r w:rsidR="00016BC1" w:rsidRPr="00A62766">
        <w:rPr>
          <w:rFonts w:ascii="Times New Roman" w:hAnsi="Times New Roman" w:cs="Times New Roman"/>
          <w:sz w:val="24"/>
          <w:szCs w:val="24"/>
        </w:rPr>
        <w:t>L</w:t>
      </w:r>
      <w:r w:rsidRPr="00A62766">
        <w:rPr>
          <w:rFonts w:ascii="Times New Roman" w:hAnsi="Times New Roman" w:cs="Times New Roman"/>
          <w:sz w:val="24"/>
          <w:szCs w:val="24"/>
        </w:rPr>
        <w:t>isans ve</w:t>
      </w:r>
      <w:r w:rsidR="00037445" w:rsidRPr="00A62766">
        <w:rPr>
          <w:rFonts w:ascii="Times New Roman" w:hAnsi="Times New Roman" w:cs="Times New Roman"/>
          <w:sz w:val="24"/>
          <w:szCs w:val="24"/>
        </w:rPr>
        <w:t xml:space="preserve"> </w:t>
      </w:r>
      <w:r w:rsidR="00016BC1" w:rsidRPr="00A62766">
        <w:rPr>
          <w:rFonts w:ascii="Times New Roman" w:hAnsi="Times New Roman" w:cs="Times New Roman"/>
          <w:sz w:val="24"/>
          <w:szCs w:val="24"/>
        </w:rPr>
        <w:t>L</w:t>
      </w:r>
      <w:r w:rsidRPr="00A62766">
        <w:rPr>
          <w:rFonts w:ascii="Times New Roman" w:hAnsi="Times New Roman" w:cs="Times New Roman"/>
          <w:sz w:val="24"/>
          <w:szCs w:val="24"/>
        </w:rPr>
        <w:t>isans</w:t>
      </w:r>
      <w:r w:rsidR="00A30C7C" w:rsidRPr="00A62766">
        <w:rPr>
          <w:rFonts w:ascii="Times New Roman" w:hAnsi="Times New Roman" w:cs="Times New Roman"/>
          <w:sz w:val="24"/>
          <w:szCs w:val="24"/>
        </w:rPr>
        <w:t xml:space="preserve"> Eğitim Öğretim ve Sınav</w:t>
      </w:r>
      <w:r w:rsidRPr="00A62766">
        <w:rPr>
          <w:rFonts w:ascii="Times New Roman" w:hAnsi="Times New Roman" w:cs="Times New Roman"/>
          <w:sz w:val="24"/>
          <w:szCs w:val="24"/>
        </w:rPr>
        <w:t xml:space="preserve"> Yönetmeliği</w:t>
      </w:r>
      <w:r w:rsidR="007402A5" w:rsidRPr="00A62766">
        <w:rPr>
          <w:rFonts w:ascii="Times New Roman" w:hAnsi="Times New Roman" w:cs="Times New Roman"/>
          <w:sz w:val="24"/>
          <w:szCs w:val="24"/>
        </w:rPr>
        <w:t xml:space="preserve"> </w:t>
      </w:r>
      <w:r w:rsidRPr="00A62766">
        <w:rPr>
          <w:rFonts w:ascii="Times New Roman" w:hAnsi="Times New Roman" w:cs="Times New Roman"/>
          <w:sz w:val="24"/>
          <w:szCs w:val="24"/>
        </w:rPr>
        <w:t>veya OSTİM Teknik Üniversitesi Yüksek</w:t>
      </w:r>
      <w:r w:rsidR="007402A5" w:rsidRPr="00A62766">
        <w:rPr>
          <w:rFonts w:ascii="Times New Roman" w:hAnsi="Times New Roman" w:cs="Times New Roman"/>
          <w:sz w:val="24"/>
          <w:szCs w:val="24"/>
        </w:rPr>
        <w:t xml:space="preserve"> </w:t>
      </w:r>
      <w:r w:rsidR="00016BC1" w:rsidRPr="00A62766">
        <w:rPr>
          <w:rFonts w:ascii="Times New Roman" w:hAnsi="Times New Roman" w:cs="Times New Roman"/>
          <w:sz w:val="24"/>
          <w:szCs w:val="24"/>
        </w:rPr>
        <w:t>L</w:t>
      </w:r>
      <w:r w:rsidRPr="00A62766">
        <w:rPr>
          <w:rFonts w:ascii="Times New Roman" w:hAnsi="Times New Roman" w:cs="Times New Roman"/>
          <w:sz w:val="24"/>
          <w:szCs w:val="24"/>
        </w:rPr>
        <w:t>isans</w:t>
      </w:r>
      <w:r w:rsidR="007402A5" w:rsidRPr="00A62766">
        <w:rPr>
          <w:rFonts w:ascii="Times New Roman" w:hAnsi="Times New Roman" w:cs="Times New Roman"/>
          <w:sz w:val="24"/>
          <w:szCs w:val="24"/>
        </w:rPr>
        <w:t xml:space="preserve"> </w:t>
      </w:r>
      <w:r w:rsidR="00A30C7C" w:rsidRPr="00A62766">
        <w:rPr>
          <w:rFonts w:ascii="Times New Roman" w:hAnsi="Times New Roman" w:cs="Times New Roman"/>
          <w:sz w:val="24"/>
          <w:szCs w:val="24"/>
        </w:rPr>
        <w:t xml:space="preserve">Eğitim Öğretim </w:t>
      </w:r>
      <w:r w:rsidR="007402A5" w:rsidRPr="00A62766">
        <w:rPr>
          <w:rFonts w:ascii="Times New Roman" w:hAnsi="Times New Roman" w:cs="Times New Roman"/>
          <w:sz w:val="24"/>
          <w:szCs w:val="24"/>
        </w:rPr>
        <w:t>Yönetmeliği hükümlerine</w:t>
      </w:r>
      <w:r w:rsidRPr="00A62766">
        <w:rPr>
          <w:rFonts w:ascii="Times New Roman" w:hAnsi="Times New Roman" w:cs="Times New Roman"/>
          <w:sz w:val="24"/>
          <w:szCs w:val="24"/>
        </w:rPr>
        <w:t xml:space="preserve"> göre eğitim öğretim ücreti iade talebiyle dilekçeyle </w:t>
      </w:r>
      <w:r w:rsidR="00016BC1" w:rsidRPr="00A62766">
        <w:rPr>
          <w:rFonts w:ascii="Times New Roman" w:hAnsi="Times New Roman" w:cs="Times New Roman"/>
          <w:sz w:val="24"/>
          <w:szCs w:val="24"/>
        </w:rPr>
        <w:t xml:space="preserve">Mali Hizmetler Daire Başkanlığı’na </w:t>
      </w:r>
      <w:r w:rsidRPr="00A62766">
        <w:rPr>
          <w:rFonts w:ascii="Times New Roman" w:hAnsi="Times New Roman" w:cs="Times New Roman"/>
          <w:sz w:val="24"/>
          <w:szCs w:val="24"/>
        </w:rPr>
        <w:t xml:space="preserve">başvurur. </w:t>
      </w:r>
    </w:p>
    <w:p w14:paraId="62BB87B3" w14:textId="77777777" w:rsidR="00083505" w:rsidRPr="00A62766" w:rsidRDefault="00083505" w:rsidP="00A62766">
      <w:pPr>
        <w:pStyle w:val="ListeParagra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902CB6" w14:textId="1CFBD15A" w:rsidR="0004147F" w:rsidRPr="00A62766" w:rsidRDefault="007402A5" w:rsidP="00A62766">
      <w:pPr>
        <w:pStyle w:val="ListeParagraf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766">
        <w:rPr>
          <w:rFonts w:ascii="Times New Roman" w:hAnsi="Times New Roman" w:cs="Times New Roman"/>
          <w:sz w:val="24"/>
          <w:szCs w:val="24"/>
        </w:rPr>
        <w:t xml:space="preserve"> </w:t>
      </w:r>
      <w:r w:rsidR="0004147F" w:rsidRPr="00A62766">
        <w:rPr>
          <w:rFonts w:ascii="Times New Roman" w:hAnsi="Times New Roman" w:cs="Times New Roman"/>
          <w:sz w:val="24"/>
          <w:szCs w:val="24"/>
        </w:rPr>
        <w:t>Mali Hizmetler Daire Başkanlığı</w:t>
      </w:r>
      <w:r w:rsidR="00016BC1" w:rsidRPr="00A62766">
        <w:rPr>
          <w:rFonts w:ascii="Times New Roman" w:hAnsi="Times New Roman" w:cs="Times New Roman"/>
          <w:sz w:val="24"/>
          <w:szCs w:val="24"/>
        </w:rPr>
        <w:t xml:space="preserve">, gelen dilekçeleri inceler, gerektiğinde Öğrenci İşleri Daire Başkanlığı’ndan görüş talep eder ve toplanan dilekçeleri dayanaklarıyla beraber </w:t>
      </w:r>
      <w:r w:rsidR="00927596" w:rsidRPr="00A62766">
        <w:rPr>
          <w:rFonts w:ascii="Times New Roman" w:hAnsi="Times New Roman" w:cs="Times New Roman"/>
          <w:sz w:val="24"/>
          <w:szCs w:val="24"/>
        </w:rPr>
        <w:t xml:space="preserve">Öğrenim </w:t>
      </w:r>
      <w:r w:rsidR="0004147F" w:rsidRPr="00A62766">
        <w:rPr>
          <w:rFonts w:ascii="Times New Roman" w:hAnsi="Times New Roman" w:cs="Times New Roman"/>
          <w:sz w:val="24"/>
          <w:szCs w:val="24"/>
        </w:rPr>
        <w:t>Ücret</w:t>
      </w:r>
      <w:r w:rsidR="00016BC1" w:rsidRPr="00A62766">
        <w:rPr>
          <w:rFonts w:ascii="Times New Roman" w:hAnsi="Times New Roman" w:cs="Times New Roman"/>
          <w:sz w:val="24"/>
          <w:szCs w:val="24"/>
        </w:rPr>
        <w:t>i</w:t>
      </w:r>
      <w:r w:rsidR="0004147F" w:rsidRPr="00A62766">
        <w:rPr>
          <w:rFonts w:ascii="Times New Roman" w:hAnsi="Times New Roman" w:cs="Times New Roman"/>
          <w:sz w:val="24"/>
          <w:szCs w:val="24"/>
        </w:rPr>
        <w:t xml:space="preserve"> İade Komisyonu</w:t>
      </w:r>
      <w:r w:rsidR="00016BC1" w:rsidRPr="00A62766">
        <w:rPr>
          <w:rFonts w:ascii="Times New Roman" w:hAnsi="Times New Roman" w:cs="Times New Roman"/>
          <w:sz w:val="24"/>
          <w:szCs w:val="24"/>
        </w:rPr>
        <w:t xml:space="preserve">’na </w:t>
      </w:r>
      <w:r w:rsidR="0004147F" w:rsidRPr="00A62766">
        <w:rPr>
          <w:rFonts w:ascii="Times New Roman" w:hAnsi="Times New Roman" w:cs="Times New Roman"/>
          <w:sz w:val="24"/>
          <w:szCs w:val="24"/>
        </w:rPr>
        <w:t>sun</w:t>
      </w:r>
      <w:r w:rsidR="00016BC1" w:rsidRPr="00A62766">
        <w:rPr>
          <w:rFonts w:ascii="Times New Roman" w:hAnsi="Times New Roman" w:cs="Times New Roman"/>
          <w:sz w:val="24"/>
          <w:szCs w:val="24"/>
        </w:rPr>
        <w:t>ar.</w:t>
      </w:r>
      <w:r w:rsidR="0004147F" w:rsidRPr="00A627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B1AED" w14:textId="77777777" w:rsidR="00083505" w:rsidRPr="00A62766" w:rsidRDefault="00083505" w:rsidP="00A62766">
      <w:pPr>
        <w:pStyle w:val="ListeParagra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1016A2" w14:textId="3C2708DA" w:rsidR="0004147F" w:rsidRPr="00A62766" w:rsidRDefault="00927596" w:rsidP="00A62766">
      <w:pPr>
        <w:pStyle w:val="ListeParagraf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766">
        <w:rPr>
          <w:rFonts w:ascii="Times New Roman" w:hAnsi="Times New Roman" w:cs="Times New Roman"/>
          <w:sz w:val="24"/>
          <w:szCs w:val="24"/>
        </w:rPr>
        <w:t>Komisyon</w:t>
      </w:r>
      <w:r w:rsidR="0004147F" w:rsidRPr="00A62766">
        <w:rPr>
          <w:rFonts w:ascii="Times New Roman" w:hAnsi="Times New Roman" w:cs="Times New Roman"/>
          <w:sz w:val="24"/>
          <w:szCs w:val="24"/>
        </w:rPr>
        <w:t xml:space="preserve"> ücret iade tale</w:t>
      </w:r>
      <w:r w:rsidR="00083505" w:rsidRPr="00A62766">
        <w:rPr>
          <w:rFonts w:ascii="Times New Roman" w:hAnsi="Times New Roman" w:cs="Times New Roman"/>
          <w:sz w:val="24"/>
          <w:szCs w:val="24"/>
        </w:rPr>
        <w:t>plerin</w:t>
      </w:r>
      <w:r w:rsidR="0004147F" w:rsidRPr="00A62766">
        <w:rPr>
          <w:rFonts w:ascii="Times New Roman" w:hAnsi="Times New Roman" w:cs="Times New Roman"/>
          <w:sz w:val="24"/>
          <w:szCs w:val="24"/>
        </w:rPr>
        <w:t>i; OSTİM Teknik Üniversitesi Ön</w:t>
      </w:r>
      <w:r w:rsidR="007402A5" w:rsidRPr="00A62766">
        <w:rPr>
          <w:rFonts w:ascii="Times New Roman" w:hAnsi="Times New Roman" w:cs="Times New Roman"/>
          <w:sz w:val="24"/>
          <w:szCs w:val="24"/>
        </w:rPr>
        <w:t xml:space="preserve"> </w:t>
      </w:r>
      <w:r w:rsidR="0004147F" w:rsidRPr="00A62766">
        <w:rPr>
          <w:rFonts w:ascii="Times New Roman" w:hAnsi="Times New Roman" w:cs="Times New Roman"/>
          <w:sz w:val="24"/>
          <w:szCs w:val="24"/>
        </w:rPr>
        <w:t>lisans ve</w:t>
      </w:r>
      <w:r w:rsidR="007402A5" w:rsidRPr="00A62766">
        <w:rPr>
          <w:rFonts w:ascii="Times New Roman" w:hAnsi="Times New Roman" w:cs="Times New Roman"/>
          <w:sz w:val="24"/>
          <w:szCs w:val="24"/>
        </w:rPr>
        <w:t xml:space="preserve"> </w:t>
      </w:r>
      <w:r w:rsidR="0004147F" w:rsidRPr="00A62766">
        <w:rPr>
          <w:rFonts w:ascii="Times New Roman" w:hAnsi="Times New Roman" w:cs="Times New Roman"/>
          <w:sz w:val="24"/>
          <w:szCs w:val="24"/>
        </w:rPr>
        <w:t xml:space="preserve">lisans </w:t>
      </w:r>
      <w:r w:rsidR="00A30C7C" w:rsidRPr="00A62766">
        <w:rPr>
          <w:rFonts w:ascii="Times New Roman" w:hAnsi="Times New Roman" w:cs="Times New Roman"/>
          <w:sz w:val="24"/>
          <w:szCs w:val="24"/>
        </w:rPr>
        <w:t xml:space="preserve">Eğitim Öğretim ve Sınav </w:t>
      </w:r>
      <w:r w:rsidR="0004147F" w:rsidRPr="00A62766">
        <w:rPr>
          <w:rFonts w:ascii="Times New Roman" w:hAnsi="Times New Roman" w:cs="Times New Roman"/>
          <w:sz w:val="24"/>
          <w:szCs w:val="24"/>
        </w:rPr>
        <w:t>Yönetmeliği veya OSTİM Teknik Üniversitesi Yüksek</w:t>
      </w:r>
      <w:r w:rsidR="007402A5" w:rsidRPr="00A62766">
        <w:rPr>
          <w:rFonts w:ascii="Times New Roman" w:hAnsi="Times New Roman" w:cs="Times New Roman"/>
          <w:sz w:val="24"/>
          <w:szCs w:val="24"/>
        </w:rPr>
        <w:t xml:space="preserve"> </w:t>
      </w:r>
      <w:r w:rsidR="00A30C7C" w:rsidRPr="00A62766">
        <w:rPr>
          <w:rFonts w:ascii="Times New Roman" w:hAnsi="Times New Roman" w:cs="Times New Roman"/>
          <w:sz w:val="24"/>
          <w:szCs w:val="24"/>
        </w:rPr>
        <w:t>lisans Eğitim Öğretim Y</w:t>
      </w:r>
      <w:r w:rsidR="0004147F" w:rsidRPr="00A62766">
        <w:rPr>
          <w:rFonts w:ascii="Times New Roman" w:hAnsi="Times New Roman" w:cs="Times New Roman"/>
          <w:sz w:val="24"/>
          <w:szCs w:val="24"/>
        </w:rPr>
        <w:t>önet</w:t>
      </w:r>
      <w:r w:rsidR="007402A5" w:rsidRPr="00A62766">
        <w:rPr>
          <w:rFonts w:ascii="Times New Roman" w:hAnsi="Times New Roman" w:cs="Times New Roman"/>
          <w:sz w:val="24"/>
          <w:szCs w:val="24"/>
        </w:rPr>
        <w:t>meliği ve Mütevelli Heyet Kararları</w:t>
      </w:r>
      <w:r w:rsidR="0004147F" w:rsidRPr="00A62766">
        <w:rPr>
          <w:rFonts w:ascii="Times New Roman" w:hAnsi="Times New Roman" w:cs="Times New Roman"/>
          <w:sz w:val="24"/>
          <w:szCs w:val="24"/>
        </w:rPr>
        <w:t xml:space="preserve"> ile diğer mevzuat hükümlerine göre değerlendirerek karara bağlar.</w:t>
      </w:r>
    </w:p>
    <w:p w14:paraId="408B71AE" w14:textId="77777777" w:rsidR="00083505" w:rsidRPr="00A62766" w:rsidRDefault="00083505" w:rsidP="00A62766">
      <w:pPr>
        <w:pStyle w:val="ListeParagra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620313" w14:textId="6E9DD56E" w:rsidR="0004147F" w:rsidRPr="00A62766" w:rsidRDefault="00927596" w:rsidP="00A62766">
      <w:pPr>
        <w:pStyle w:val="ListeParagraf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766">
        <w:rPr>
          <w:rFonts w:ascii="Times New Roman" w:hAnsi="Times New Roman" w:cs="Times New Roman"/>
          <w:sz w:val="24"/>
          <w:szCs w:val="24"/>
        </w:rPr>
        <w:t>Komisyon tarafından alınan eğitim öğretim ücret iade kararları</w:t>
      </w:r>
      <w:r w:rsidR="00083505" w:rsidRPr="00A62766">
        <w:rPr>
          <w:rFonts w:ascii="Times New Roman" w:hAnsi="Times New Roman" w:cs="Times New Roman"/>
          <w:sz w:val="24"/>
          <w:szCs w:val="24"/>
        </w:rPr>
        <w:t>,</w:t>
      </w:r>
      <w:r w:rsidR="0004147F" w:rsidRPr="00A62766">
        <w:rPr>
          <w:rFonts w:ascii="Times New Roman" w:hAnsi="Times New Roman" w:cs="Times New Roman"/>
          <w:sz w:val="24"/>
          <w:szCs w:val="24"/>
        </w:rPr>
        <w:t xml:space="preserve"> EBYS üzerinden Mali Hizmetler Daire Başkanlığı</w:t>
      </w:r>
      <w:r w:rsidR="00083505" w:rsidRPr="00A62766">
        <w:rPr>
          <w:rFonts w:ascii="Times New Roman" w:hAnsi="Times New Roman" w:cs="Times New Roman"/>
          <w:sz w:val="24"/>
          <w:szCs w:val="24"/>
        </w:rPr>
        <w:t>’</w:t>
      </w:r>
      <w:r w:rsidR="0004147F" w:rsidRPr="00A62766">
        <w:rPr>
          <w:rFonts w:ascii="Times New Roman" w:hAnsi="Times New Roman" w:cs="Times New Roman"/>
          <w:sz w:val="24"/>
          <w:szCs w:val="24"/>
        </w:rPr>
        <w:t xml:space="preserve">na </w:t>
      </w:r>
      <w:r w:rsidR="00083505" w:rsidRPr="00A62766">
        <w:rPr>
          <w:rFonts w:ascii="Times New Roman" w:hAnsi="Times New Roman" w:cs="Times New Roman"/>
          <w:sz w:val="24"/>
          <w:szCs w:val="24"/>
        </w:rPr>
        <w:t xml:space="preserve">gönderilir. </w:t>
      </w:r>
      <w:r w:rsidR="007402A5" w:rsidRPr="00A62766">
        <w:rPr>
          <w:rFonts w:ascii="Times New Roman" w:hAnsi="Times New Roman" w:cs="Times New Roman"/>
          <w:sz w:val="24"/>
          <w:szCs w:val="24"/>
        </w:rPr>
        <w:t>Mali Hizmetler Daire Başkanlığı</w:t>
      </w:r>
      <w:r w:rsidR="00083505" w:rsidRPr="00A62766">
        <w:rPr>
          <w:rFonts w:ascii="Times New Roman" w:hAnsi="Times New Roman" w:cs="Times New Roman"/>
          <w:sz w:val="24"/>
          <w:szCs w:val="24"/>
        </w:rPr>
        <w:t xml:space="preserve"> komisyon kararı </w:t>
      </w:r>
      <w:proofErr w:type="gramStart"/>
      <w:r w:rsidR="00083505" w:rsidRPr="00A62766">
        <w:rPr>
          <w:rFonts w:ascii="Times New Roman" w:hAnsi="Times New Roman" w:cs="Times New Roman"/>
          <w:sz w:val="24"/>
          <w:szCs w:val="24"/>
        </w:rPr>
        <w:t>ile birlikte</w:t>
      </w:r>
      <w:proofErr w:type="gramEnd"/>
      <w:r w:rsidR="00083505" w:rsidRPr="00A62766">
        <w:rPr>
          <w:rFonts w:ascii="Times New Roman" w:hAnsi="Times New Roman" w:cs="Times New Roman"/>
          <w:sz w:val="24"/>
          <w:szCs w:val="24"/>
        </w:rPr>
        <w:t xml:space="preserve"> ödeme talimatını Rektör </w:t>
      </w:r>
      <w:r w:rsidR="00EB61EA" w:rsidRPr="00A62766">
        <w:rPr>
          <w:rFonts w:ascii="Times New Roman" w:hAnsi="Times New Roman" w:cs="Times New Roman"/>
          <w:sz w:val="24"/>
          <w:szCs w:val="24"/>
        </w:rPr>
        <w:t>onay</w:t>
      </w:r>
      <w:r w:rsidR="003F174D" w:rsidRPr="00A62766">
        <w:rPr>
          <w:rFonts w:ascii="Times New Roman" w:hAnsi="Times New Roman" w:cs="Times New Roman"/>
          <w:sz w:val="24"/>
          <w:szCs w:val="24"/>
        </w:rPr>
        <w:t>ına</w:t>
      </w:r>
      <w:r w:rsidR="00083505" w:rsidRPr="00A62766">
        <w:rPr>
          <w:rFonts w:ascii="Times New Roman" w:hAnsi="Times New Roman" w:cs="Times New Roman"/>
          <w:sz w:val="24"/>
          <w:szCs w:val="24"/>
        </w:rPr>
        <w:t xml:space="preserve"> sunar. O</w:t>
      </w:r>
      <w:r w:rsidR="007402A5" w:rsidRPr="00A62766">
        <w:rPr>
          <w:rFonts w:ascii="Times New Roman" w:hAnsi="Times New Roman" w:cs="Times New Roman"/>
          <w:sz w:val="24"/>
          <w:szCs w:val="24"/>
        </w:rPr>
        <w:t xml:space="preserve">naylanan ödeme işlemi gerçekleştirilir. </w:t>
      </w:r>
    </w:p>
    <w:p w14:paraId="2E91732A" w14:textId="77777777" w:rsidR="00083505" w:rsidRPr="00A62766" w:rsidRDefault="00083505" w:rsidP="00A62766">
      <w:pPr>
        <w:pStyle w:val="ListeParagra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1CD0DC" w14:textId="7C2E9EB1" w:rsidR="0004147F" w:rsidRPr="00A62766" w:rsidRDefault="00927596" w:rsidP="00A62766">
      <w:pPr>
        <w:pStyle w:val="ListeParagraf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766">
        <w:rPr>
          <w:rFonts w:ascii="Times New Roman" w:hAnsi="Times New Roman" w:cs="Times New Roman"/>
          <w:sz w:val="24"/>
          <w:szCs w:val="24"/>
        </w:rPr>
        <w:t>Komisyonca</w:t>
      </w:r>
      <w:r w:rsidR="0004147F" w:rsidRPr="00A62766">
        <w:rPr>
          <w:rFonts w:ascii="Times New Roman" w:hAnsi="Times New Roman" w:cs="Times New Roman"/>
          <w:sz w:val="24"/>
          <w:szCs w:val="24"/>
        </w:rPr>
        <w:t xml:space="preserve"> uygun görülmeyen</w:t>
      </w:r>
      <w:r w:rsidRPr="00A62766">
        <w:rPr>
          <w:rFonts w:ascii="Times New Roman" w:hAnsi="Times New Roman" w:cs="Times New Roman"/>
          <w:sz w:val="24"/>
          <w:szCs w:val="24"/>
        </w:rPr>
        <w:t xml:space="preserve"> eğitim öğretim ücret iade </w:t>
      </w:r>
      <w:r w:rsidR="0004147F" w:rsidRPr="00A62766">
        <w:rPr>
          <w:rFonts w:ascii="Times New Roman" w:hAnsi="Times New Roman" w:cs="Times New Roman"/>
          <w:sz w:val="24"/>
          <w:szCs w:val="24"/>
        </w:rPr>
        <w:t>talepler</w:t>
      </w:r>
      <w:r w:rsidRPr="00A62766">
        <w:rPr>
          <w:rFonts w:ascii="Times New Roman" w:hAnsi="Times New Roman" w:cs="Times New Roman"/>
          <w:sz w:val="24"/>
          <w:szCs w:val="24"/>
        </w:rPr>
        <w:t>ine</w:t>
      </w:r>
      <w:r w:rsidR="007402A5" w:rsidRPr="00A62766">
        <w:rPr>
          <w:rFonts w:ascii="Times New Roman" w:hAnsi="Times New Roman" w:cs="Times New Roman"/>
          <w:sz w:val="24"/>
          <w:szCs w:val="24"/>
        </w:rPr>
        <w:t xml:space="preserve"> ilişkin kararlar</w:t>
      </w:r>
      <w:r w:rsidR="0004147F" w:rsidRPr="00A62766">
        <w:rPr>
          <w:rFonts w:ascii="Times New Roman" w:hAnsi="Times New Roman" w:cs="Times New Roman"/>
          <w:sz w:val="24"/>
          <w:szCs w:val="24"/>
        </w:rPr>
        <w:t xml:space="preserve"> Mali Hizmetler Daire Başkanlığı</w:t>
      </w:r>
      <w:r w:rsidR="00083505" w:rsidRPr="00A62766">
        <w:rPr>
          <w:rFonts w:ascii="Times New Roman" w:hAnsi="Times New Roman" w:cs="Times New Roman"/>
          <w:sz w:val="24"/>
          <w:szCs w:val="24"/>
        </w:rPr>
        <w:t>’</w:t>
      </w:r>
      <w:r w:rsidR="0004147F" w:rsidRPr="00A62766">
        <w:rPr>
          <w:rFonts w:ascii="Times New Roman" w:hAnsi="Times New Roman" w:cs="Times New Roman"/>
          <w:sz w:val="24"/>
          <w:szCs w:val="24"/>
        </w:rPr>
        <w:t xml:space="preserve">na </w:t>
      </w:r>
      <w:r w:rsidR="00083505" w:rsidRPr="00A62766">
        <w:rPr>
          <w:rFonts w:ascii="Times New Roman" w:hAnsi="Times New Roman" w:cs="Times New Roman"/>
          <w:sz w:val="24"/>
          <w:szCs w:val="24"/>
        </w:rPr>
        <w:t>bildirilir.</w:t>
      </w:r>
      <w:r w:rsidR="007402A5" w:rsidRPr="00A62766">
        <w:rPr>
          <w:rFonts w:ascii="Times New Roman" w:hAnsi="Times New Roman" w:cs="Times New Roman"/>
          <w:sz w:val="24"/>
          <w:szCs w:val="24"/>
        </w:rPr>
        <w:t xml:space="preserve"> </w:t>
      </w:r>
      <w:r w:rsidR="0004147F" w:rsidRPr="00A62766">
        <w:rPr>
          <w:rFonts w:ascii="Times New Roman" w:hAnsi="Times New Roman" w:cs="Times New Roman"/>
          <w:sz w:val="24"/>
          <w:szCs w:val="24"/>
        </w:rPr>
        <w:t xml:space="preserve"> </w:t>
      </w:r>
      <w:r w:rsidR="00083505" w:rsidRPr="00A62766">
        <w:rPr>
          <w:rFonts w:ascii="Times New Roman" w:hAnsi="Times New Roman" w:cs="Times New Roman"/>
          <w:sz w:val="24"/>
          <w:szCs w:val="24"/>
        </w:rPr>
        <w:t xml:space="preserve">Mali Hizmetler Daire Başkanlığı tarafından iade talebinin uygun görülmediği başvuru sahibine Genel Sekreter imzası ile bildirilir. </w:t>
      </w:r>
    </w:p>
    <w:p w14:paraId="238AF426" w14:textId="77777777" w:rsidR="00083505" w:rsidRPr="00A62766" w:rsidRDefault="00083505" w:rsidP="00A62766">
      <w:pPr>
        <w:pStyle w:val="ListeParagra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856368" w14:textId="4F51C773" w:rsidR="0004147F" w:rsidRPr="00A62766" w:rsidRDefault="00927596" w:rsidP="00A62766">
      <w:pPr>
        <w:pStyle w:val="ListeParagraf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766">
        <w:rPr>
          <w:rFonts w:ascii="Times New Roman" w:hAnsi="Times New Roman" w:cs="Times New Roman"/>
          <w:sz w:val="24"/>
          <w:szCs w:val="24"/>
        </w:rPr>
        <w:t>Komisyonunun</w:t>
      </w:r>
      <w:r w:rsidR="00083505" w:rsidRPr="00A62766">
        <w:rPr>
          <w:rFonts w:ascii="Times New Roman" w:hAnsi="Times New Roman" w:cs="Times New Roman"/>
          <w:sz w:val="24"/>
          <w:szCs w:val="24"/>
        </w:rPr>
        <w:t xml:space="preserve"> </w:t>
      </w:r>
      <w:r w:rsidR="0004147F" w:rsidRPr="00A62766">
        <w:rPr>
          <w:rFonts w:ascii="Times New Roman" w:hAnsi="Times New Roman" w:cs="Times New Roman"/>
          <w:sz w:val="24"/>
          <w:szCs w:val="24"/>
        </w:rPr>
        <w:t>sekretarya</w:t>
      </w:r>
      <w:r w:rsidR="00083505" w:rsidRPr="00A62766">
        <w:rPr>
          <w:rFonts w:ascii="Times New Roman" w:hAnsi="Times New Roman" w:cs="Times New Roman"/>
          <w:sz w:val="24"/>
          <w:szCs w:val="24"/>
        </w:rPr>
        <w:t xml:space="preserve">, arşivleme işlemleri, Mali Hizmetler Daire Başkanlığı </w:t>
      </w:r>
      <w:r w:rsidR="0004147F" w:rsidRPr="00A62766">
        <w:rPr>
          <w:rFonts w:ascii="Times New Roman" w:hAnsi="Times New Roman" w:cs="Times New Roman"/>
          <w:sz w:val="24"/>
          <w:szCs w:val="24"/>
        </w:rPr>
        <w:t xml:space="preserve">tarafından yürütülür. </w:t>
      </w:r>
    </w:p>
    <w:p w14:paraId="3562D79D" w14:textId="77777777" w:rsidR="00A62766" w:rsidRDefault="00A62766" w:rsidP="00A62766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4C1C8" w14:textId="77777777" w:rsidR="00A62766" w:rsidRPr="00A62766" w:rsidRDefault="00A62766" w:rsidP="00A62766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2830"/>
        <w:gridCol w:w="2977"/>
      </w:tblGrid>
      <w:tr w:rsidR="00A62766" w:rsidRPr="00A62766" w14:paraId="06D7C7C4" w14:textId="77777777" w:rsidTr="00A62766">
        <w:trPr>
          <w:trHeight w:val="454"/>
        </w:trPr>
        <w:tc>
          <w:tcPr>
            <w:tcW w:w="851" w:type="dxa"/>
            <w:vMerge w:val="restart"/>
          </w:tcPr>
          <w:p w14:paraId="16DD59AF" w14:textId="77777777" w:rsidR="00A62766" w:rsidRPr="00A62766" w:rsidRDefault="00A62766" w:rsidP="00A62766">
            <w:pPr>
              <w:rPr>
                <w:sz w:val="24"/>
                <w:szCs w:val="24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44C64F2A" w14:textId="77777777" w:rsidR="00A62766" w:rsidRPr="00A62766" w:rsidRDefault="00A62766" w:rsidP="00A62766">
            <w:pPr>
              <w:jc w:val="center"/>
              <w:rPr>
                <w:sz w:val="24"/>
                <w:szCs w:val="24"/>
              </w:rPr>
            </w:pPr>
            <w:r w:rsidRPr="00A62766">
              <w:rPr>
                <w:b/>
                <w:bCs/>
                <w:sz w:val="24"/>
                <w:szCs w:val="24"/>
              </w:rPr>
              <w:t>Kabul Edildiği Senato Toplantısının</w:t>
            </w:r>
          </w:p>
        </w:tc>
      </w:tr>
      <w:tr w:rsidR="00A62766" w:rsidRPr="00A62766" w14:paraId="512663AB" w14:textId="77777777" w:rsidTr="00112105">
        <w:trPr>
          <w:trHeight w:val="283"/>
        </w:trPr>
        <w:tc>
          <w:tcPr>
            <w:tcW w:w="851" w:type="dxa"/>
            <w:vMerge/>
          </w:tcPr>
          <w:p w14:paraId="1F1764F3" w14:textId="77777777" w:rsidR="00A62766" w:rsidRPr="00A62766" w:rsidRDefault="00A62766" w:rsidP="00A62766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5F888156" w14:textId="77777777" w:rsidR="00A62766" w:rsidRPr="00A62766" w:rsidRDefault="00A62766" w:rsidP="00A62766">
            <w:pPr>
              <w:jc w:val="center"/>
              <w:rPr>
                <w:sz w:val="24"/>
                <w:szCs w:val="24"/>
              </w:rPr>
            </w:pPr>
            <w:r w:rsidRPr="00A62766">
              <w:rPr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2977" w:type="dxa"/>
            <w:vAlign w:val="center"/>
          </w:tcPr>
          <w:p w14:paraId="12D6AFE3" w14:textId="77777777" w:rsidR="00A62766" w:rsidRPr="00A62766" w:rsidRDefault="00A62766" w:rsidP="00A62766">
            <w:pPr>
              <w:jc w:val="center"/>
              <w:rPr>
                <w:sz w:val="24"/>
                <w:szCs w:val="24"/>
              </w:rPr>
            </w:pPr>
            <w:r w:rsidRPr="00A62766">
              <w:rPr>
                <w:b/>
                <w:bCs/>
                <w:sz w:val="24"/>
                <w:szCs w:val="24"/>
              </w:rPr>
              <w:t>Sayısı</w:t>
            </w:r>
          </w:p>
        </w:tc>
      </w:tr>
      <w:tr w:rsidR="00A62766" w:rsidRPr="00A62766" w14:paraId="42B41438" w14:textId="77777777" w:rsidTr="00112105">
        <w:trPr>
          <w:trHeight w:val="283"/>
        </w:trPr>
        <w:tc>
          <w:tcPr>
            <w:tcW w:w="851" w:type="dxa"/>
            <w:vMerge/>
          </w:tcPr>
          <w:p w14:paraId="48CA668B" w14:textId="77777777" w:rsidR="00A62766" w:rsidRPr="00A62766" w:rsidRDefault="00A62766" w:rsidP="00A62766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17CCD105" w14:textId="08B9D677" w:rsidR="00A62766" w:rsidRPr="00A62766" w:rsidRDefault="00A62766" w:rsidP="00A6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420AE">
              <w:rPr>
                <w:sz w:val="24"/>
                <w:szCs w:val="24"/>
              </w:rPr>
              <w:t>.04.2025</w:t>
            </w:r>
          </w:p>
        </w:tc>
        <w:tc>
          <w:tcPr>
            <w:tcW w:w="2977" w:type="dxa"/>
            <w:vAlign w:val="center"/>
          </w:tcPr>
          <w:p w14:paraId="277B5D39" w14:textId="65E5042C" w:rsidR="00A62766" w:rsidRPr="00A62766" w:rsidRDefault="00A62766" w:rsidP="00A6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A62766" w:rsidRPr="00A62766" w14:paraId="26E99ACD" w14:textId="77777777" w:rsidTr="00A62766">
        <w:trPr>
          <w:trHeight w:val="454"/>
        </w:trPr>
        <w:tc>
          <w:tcPr>
            <w:tcW w:w="851" w:type="dxa"/>
            <w:vMerge/>
          </w:tcPr>
          <w:p w14:paraId="1178913F" w14:textId="77777777" w:rsidR="00A62766" w:rsidRPr="00A62766" w:rsidRDefault="00A62766" w:rsidP="00A62766">
            <w:pPr>
              <w:rPr>
                <w:sz w:val="24"/>
                <w:szCs w:val="24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5968DCC0" w14:textId="77777777" w:rsidR="00A62766" w:rsidRPr="00A62766" w:rsidRDefault="00A62766" w:rsidP="00A62766">
            <w:pPr>
              <w:jc w:val="center"/>
              <w:rPr>
                <w:sz w:val="24"/>
                <w:szCs w:val="24"/>
              </w:rPr>
            </w:pPr>
            <w:r w:rsidRPr="00A62766">
              <w:rPr>
                <w:b/>
                <w:bCs/>
                <w:sz w:val="24"/>
                <w:szCs w:val="24"/>
              </w:rPr>
              <w:t>Yürürlüğe Konulduğu Mütevelli Heyeti Toplantısının</w:t>
            </w:r>
          </w:p>
        </w:tc>
      </w:tr>
      <w:tr w:rsidR="00A62766" w:rsidRPr="00A62766" w14:paraId="0413CDE3" w14:textId="77777777" w:rsidTr="00112105">
        <w:trPr>
          <w:trHeight w:val="283"/>
        </w:trPr>
        <w:tc>
          <w:tcPr>
            <w:tcW w:w="851" w:type="dxa"/>
            <w:vMerge/>
          </w:tcPr>
          <w:p w14:paraId="6AE47746" w14:textId="77777777" w:rsidR="00A62766" w:rsidRPr="00A62766" w:rsidRDefault="00A62766" w:rsidP="00A62766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59C0993C" w14:textId="77777777" w:rsidR="00A62766" w:rsidRPr="00A62766" w:rsidRDefault="00A62766" w:rsidP="00A62766">
            <w:pPr>
              <w:jc w:val="center"/>
              <w:rPr>
                <w:sz w:val="24"/>
                <w:szCs w:val="24"/>
              </w:rPr>
            </w:pPr>
            <w:r w:rsidRPr="00A62766">
              <w:rPr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2977" w:type="dxa"/>
            <w:vAlign w:val="center"/>
          </w:tcPr>
          <w:p w14:paraId="4CC386B6" w14:textId="77777777" w:rsidR="00A62766" w:rsidRPr="00A62766" w:rsidRDefault="00A62766" w:rsidP="00A62766">
            <w:pPr>
              <w:jc w:val="center"/>
              <w:rPr>
                <w:sz w:val="24"/>
                <w:szCs w:val="24"/>
              </w:rPr>
            </w:pPr>
            <w:r w:rsidRPr="00A62766">
              <w:rPr>
                <w:b/>
                <w:bCs/>
                <w:sz w:val="24"/>
                <w:szCs w:val="24"/>
              </w:rPr>
              <w:t>Sayısı</w:t>
            </w:r>
          </w:p>
        </w:tc>
      </w:tr>
      <w:tr w:rsidR="00A62766" w:rsidRPr="00A62766" w14:paraId="16DC2F5A" w14:textId="77777777" w:rsidTr="00112105">
        <w:trPr>
          <w:trHeight w:val="283"/>
        </w:trPr>
        <w:tc>
          <w:tcPr>
            <w:tcW w:w="851" w:type="dxa"/>
            <w:vMerge/>
          </w:tcPr>
          <w:p w14:paraId="06CE21CF" w14:textId="77777777" w:rsidR="00A62766" w:rsidRPr="00A62766" w:rsidRDefault="00A62766" w:rsidP="00A62766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2CF3B959" w14:textId="77777777" w:rsidR="00A62766" w:rsidRPr="00A62766" w:rsidRDefault="00A62766" w:rsidP="00A62766">
            <w:pPr>
              <w:jc w:val="center"/>
              <w:rPr>
                <w:sz w:val="24"/>
                <w:szCs w:val="24"/>
              </w:rPr>
            </w:pPr>
            <w:r w:rsidRPr="00A62766">
              <w:rPr>
                <w:sz w:val="24"/>
                <w:szCs w:val="24"/>
              </w:rPr>
              <w:t>15.05.2025</w:t>
            </w:r>
          </w:p>
        </w:tc>
        <w:tc>
          <w:tcPr>
            <w:tcW w:w="2977" w:type="dxa"/>
            <w:vAlign w:val="center"/>
          </w:tcPr>
          <w:p w14:paraId="1D1A592F" w14:textId="77777777" w:rsidR="00A62766" w:rsidRPr="00A62766" w:rsidRDefault="00A62766" w:rsidP="00A62766">
            <w:pPr>
              <w:jc w:val="center"/>
              <w:rPr>
                <w:sz w:val="24"/>
                <w:szCs w:val="24"/>
              </w:rPr>
            </w:pPr>
            <w:r w:rsidRPr="00A62766">
              <w:rPr>
                <w:sz w:val="24"/>
                <w:szCs w:val="24"/>
              </w:rPr>
              <w:t>85</w:t>
            </w:r>
          </w:p>
        </w:tc>
      </w:tr>
    </w:tbl>
    <w:p w14:paraId="7AC6BD8E" w14:textId="14C30D1D" w:rsidR="00A62766" w:rsidRDefault="00A62766" w:rsidP="00A627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A621F" w14:textId="77777777" w:rsidR="00A62766" w:rsidRPr="00A62766" w:rsidRDefault="00A62766" w:rsidP="00A627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2766" w:rsidRPr="00A62766" w:rsidSect="00A6276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4F781" w14:textId="77777777" w:rsidR="00D30364" w:rsidRDefault="00D30364" w:rsidP="00DD4B11">
      <w:pPr>
        <w:spacing w:after="0" w:line="240" w:lineRule="auto"/>
      </w:pPr>
      <w:r>
        <w:separator/>
      </w:r>
    </w:p>
  </w:endnote>
  <w:endnote w:type="continuationSeparator" w:id="0">
    <w:p w14:paraId="2A49B88B" w14:textId="77777777" w:rsidR="00D30364" w:rsidRDefault="00D30364" w:rsidP="00DD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675D" w14:textId="77777777" w:rsidR="00D30364" w:rsidRDefault="00D30364" w:rsidP="00DD4B11">
      <w:pPr>
        <w:spacing w:after="0" w:line="240" w:lineRule="auto"/>
      </w:pPr>
      <w:r>
        <w:separator/>
      </w:r>
    </w:p>
  </w:footnote>
  <w:footnote w:type="continuationSeparator" w:id="0">
    <w:p w14:paraId="6EA3A141" w14:textId="77777777" w:rsidR="00D30364" w:rsidRDefault="00D30364" w:rsidP="00DD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D35C5"/>
    <w:multiLevelType w:val="hybridMultilevel"/>
    <w:tmpl w:val="3FB8E9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852CF"/>
    <w:multiLevelType w:val="hybridMultilevel"/>
    <w:tmpl w:val="8B0E3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22346">
    <w:abstractNumId w:val="1"/>
  </w:num>
  <w:num w:numId="2" w16cid:durableId="105296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2F"/>
    <w:rsid w:val="00016BC1"/>
    <w:rsid w:val="00037445"/>
    <w:rsid w:val="0004147F"/>
    <w:rsid w:val="00044505"/>
    <w:rsid w:val="00083505"/>
    <w:rsid w:val="000E2230"/>
    <w:rsid w:val="00112105"/>
    <w:rsid w:val="00114A22"/>
    <w:rsid w:val="002B7F34"/>
    <w:rsid w:val="003F174D"/>
    <w:rsid w:val="004C1087"/>
    <w:rsid w:val="00500087"/>
    <w:rsid w:val="005C7C87"/>
    <w:rsid w:val="007402A5"/>
    <w:rsid w:val="00927596"/>
    <w:rsid w:val="00955966"/>
    <w:rsid w:val="00A00E3C"/>
    <w:rsid w:val="00A30C7C"/>
    <w:rsid w:val="00A62766"/>
    <w:rsid w:val="00B56B37"/>
    <w:rsid w:val="00BD65EA"/>
    <w:rsid w:val="00BF4A2F"/>
    <w:rsid w:val="00D30364"/>
    <w:rsid w:val="00D70596"/>
    <w:rsid w:val="00DB666B"/>
    <w:rsid w:val="00DD4B11"/>
    <w:rsid w:val="00DF7612"/>
    <w:rsid w:val="00E656EC"/>
    <w:rsid w:val="00EB61EA"/>
    <w:rsid w:val="00F359E8"/>
    <w:rsid w:val="00F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5F93"/>
  <w15:chartTrackingRefBased/>
  <w15:docId w15:val="{872CFAA9-129C-4963-84A5-F41DFD38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47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D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4B11"/>
  </w:style>
  <w:style w:type="paragraph" w:styleId="AltBilgi">
    <w:name w:val="footer"/>
    <w:basedOn w:val="Normal"/>
    <w:link w:val="AltBilgiChar"/>
    <w:uiPriority w:val="99"/>
    <w:unhideWhenUsed/>
    <w:rsid w:val="00DD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4B11"/>
  </w:style>
  <w:style w:type="table" w:styleId="TabloKlavuzu">
    <w:name w:val="Table Grid"/>
    <w:basedOn w:val="NormalTablo"/>
    <w:uiPriority w:val="59"/>
    <w:rsid w:val="00A62766"/>
    <w:pPr>
      <w:spacing w:after="0" w:line="240" w:lineRule="auto"/>
    </w:pPr>
    <w:rPr>
      <w:rFonts w:ascii="Times New Roman" w:eastAsiaTheme="minorEastAsia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 Işık</dc:creator>
  <cp:keywords/>
  <dc:description/>
  <cp:lastModifiedBy>Osman DOĞRU</cp:lastModifiedBy>
  <cp:revision>16</cp:revision>
  <cp:lastPrinted>2025-05-02T08:56:00Z</cp:lastPrinted>
  <dcterms:created xsi:type="dcterms:W3CDTF">2025-03-14T07:32:00Z</dcterms:created>
  <dcterms:modified xsi:type="dcterms:W3CDTF">2025-08-29T09:51:00Z</dcterms:modified>
</cp:coreProperties>
</file>